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AE0B27" w:rsidP="00AE0B27">
      <w:pPr>
        <w:spacing w:line="480" w:lineRule="auto"/>
        <w:jc w:val="center"/>
        <w:rPr>
          <w:rFonts w:ascii="Arial" w:hAnsi="Arial" w:cs="Arial"/>
          <w:sz w:val="24"/>
          <w:szCs w:val="24"/>
        </w:rPr>
      </w:pPr>
    </w:p>
    <w:p w:rsidR="00AE0B27" w:rsidP="00AE0B27">
      <w:pPr>
        <w:spacing w:line="480" w:lineRule="auto"/>
        <w:jc w:val="center"/>
        <w:rPr>
          <w:rFonts w:ascii="Arial" w:hAnsi="Arial" w:cs="Arial"/>
          <w:sz w:val="24"/>
          <w:szCs w:val="24"/>
        </w:rPr>
      </w:pPr>
    </w:p>
    <w:p w:rsidR="00AE0B27" w:rsidP="00AE0B27">
      <w:pPr>
        <w:spacing w:line="480" w:lineRule="auto"/>
        <w:jc w:val="center"/>
        <w:rPr>
          <w:rFonts w:ascii="Arial" w:hAnsi="Arial" w:cs="Arial"/>
          <w:sz w:val="24"/>
          <w:szCs w:val="24"/>
        </w:rPr>
      </w:pPr>
    </w:p>
    <w:p w:rsidR="00AE0B27" w:rsidP="002106F1">
      <w:pPr>
        <w:spacing w:line="480" w:lineRule="auto"/>
        <w:rPr>
          <w:rFonts w:ascii="Arial" w:hAnsi="Arial" w:cs="Arial"/>
          <w:sz w:val="24"/>
          <w:szCs w:val="24"/>
        </w:rPr>
      </w:pPr>
    </w:p>
    <w:p w:rsidR="00AE0B27" w:rsidP="00AE0B27">
      <w:pPr>
        <w:spacing w:line="480" w:lineRule="auto"/>
        <w:jc w:val="center"/>
        <w:rPr>
          <w:rFonts w:ascii="Arial" w:hAnsi="Arial" w:cs="Arial"/>
          <w:sz w:val="24"/>
          <w:szCs w:val="24"/>
        </w:rPr>
      </w:pPr>
    </w:p>
    <w:p w:rsidR="00AE0B27" w:rsidP="00AE0B27">
      <w:pPr>
        <w:spacing w:line="480" w:lineRule="auto"/>
        <w:jc w:val="center"/>
        <w:rPr>
          <w:rFonts w:ascii="Arial" w:hAnsi="Arial" w:cs="Arial"/>
          <w:sz w:val="24"/>
          <w:szCs w:val="24"/>
        </w:rPr>
      </w:pPr>
    </w:p>
    <w:p w:rsidR="000B48AC" w:rsidP="00AE0B27">
      <w:pPr>
        <w:spacing w:line="480" w:lineRule="auto"/>
        <w:jc w:val="center"/>
        <w:rPr>
          <w:rFonts w:ascii="Arial" w:hAnsi="Arial" w:cs="Arial"/>
          <w:sz w:val="24"/>
          <w:szCs w:val="24"/>
        </w:rPr>
      </w:pPr>
      <w:r>
        <w:rPr>
          <w:rFonts w:ascii="Arial" w:hAnsi="Arial" w:cs="Arial"/>
          <w:sz w:val="24"/>
          <w:szCs w:val="24"/>
        </w:rPr>
        <w:t xml:space="preserve">Buchanan and </w:t>
      </w:r>
      <w:r>
        <w:rPr>
          <w:rFonts w:ascii="Arial" w:hAnsi="Arial" w:cs="Arial"/>
          <w:sz w:val="24"/>
          <w:szCs w:val="24"/>
        </w:rPr>
        <w:t>Forst</w:t>
      </w:r>
    </w:p>
    <w:p w:rsidR="00AE0B27" w:rsidP="00AE0B27">
      <w:pPr>
        <w:spacing w:line="480" w:lineRule="auto"/>
        <w:jc w:val="center"/>
        <w:rPr>
          <w:rFonts w:ascii="Arial" w:hAnsi="Arial" w:cs="Arial"/>
          <w:sz w:val="24"/>
          <w:szCs w:val="24"/>
        </w:rPr>
      </w:pPr>
      <w:r>
        <w:rPr>
          <w:rFonts w:ascii="Arial" w:hAnsi="Arial" w:cs="Arial"/>
          <w:sz w:val="24"/>
          <w:szCs w:val="24"/>
        </w:rPr>
        <w:t>Student’s Name</w:t>
      </w:r>
    </w:p>
    <w:p w:rsidR="00AE0B27" w:rsidP="00AE0B27">
      <w:pPr>
        <w:spacing w:line="480" w:lineRule="auto"/>
        <w:jc w:val="center"/>
        <w:rPr>
          <w:rFonts w:ascii="Arial" w:hAnsi="Arial" w:cs="Arial"/>
          <w:sz w:val="24"/>
          <w:szCs w:val="24"/>
        </w:rPr>
      </w:pPr>
      <w:r>
        <w:rPr>
          <w:rFonts w:ascii="Arial" w:hAnsi="Arial" w:cs="Arial"/>
          <w:sz w:val="24"/>
          <w:szCs w:val="24"/>
        </w:rPr>
        <w:t>Institutional Affiliation</w:t>
      </w:r>
    </w:p>
    <w:p w:rsidR="00AE0B27" w:rsidRPr="00AE0B27" w:rsidP="00AE0B27">
      <w:pPr>
        <w:rPr>
          <w:rFonts w:ascii="Arial" w:hAnsi="Arial" w:cs="Arial"/>
          <w:sz w:val="24"/>
          <w:szCs w:val="24"/>
        </w:rPr>
      </w:pPr>
    </w:p>
    <w:p w:rsidR="00AE0B27" w:rsidRPr="00AE0B27" w:rsidP="00AE0B27">
      <w:pPr>
        <w:rPr>
          <w:rFonts w:ascii="Arial" w:hAnsi="Arial" w:cs="Arial"/>
          <w:sz w:val="24"/>
          <w:szCs w:val="24"/>
        </w:rPr>
      </w:pPr>
    </w:p>
    <w:p w:rsidR="00AE0B27" w:rsidRPr="00AE0B27" w:rsidP="00AE0B27">
      <w:pPr>
        <w:rPr>
          <w:rFonts w:ascii="Arial" w:hAnsi="Arial" w:cs="Arial"/>
          <w:sz w:val="24"/>
          <w:szCs w:val="24"/>
        </w:rPr>
      </w:pPr>
    </w:p>
    <w:p w:rsidR="00AE0B27" w:rsidRPr="00AE0B27" w:rsidP="00AE0B27">
      <w:pPr>
        <w:rPr>
          <w:rFonts w:ascii="Arial" w:hAnsi="Arial" w:cs="Arial"/>
          <w:sz w:val="24"/>
          <w:szCs w:val="24"/>
        </w:rPr>
      </w:pPr>
    </w:p>
    <w:p w:rsidR="00AE0B27" w:rsidP="00AE0B27">
      <w:pPr>
        <w:rPr>
          <w:rFonts w:ascii="Arial" w:hAnsi="Arial" w:cs="Arial"/>
          <w:sz w:val="24"/>
          <w:szCs w:val="24"/>
        </w:rPr>
      </w:pPr>
    </w:p>
    <w:p w:rsidR="00AE0B27" w:rsidP="00AE0B27">
      <w:pPr>
        <w:rPr>
          <w:rFonts w:ascii="Arial" w:hAnsi="Arial" w:cs="Arial"/>
          <w:sz w:val="24"/>
          <w:szCs w:val="24"/>
        </w:rPr>
      </w:pPr>
    </w:p>
    <w:p w:rsidR="00AE0B27" w:rsidP="00AE0B27">
      <w:pPr>
        <w:rPr>
          <w:rFonts w:ascii="Arial" w:hAnsi="Arial" w:cs="Arial"/>
          <w:sz w:val="24"/>
          <w:szCs w:val="24"/>
        </w:rPr>
      </w:pPr>
    </w:p>
    <w:p w:rsidR="00AE0B27" w:rsidP="00AE0B27">
      <w:pPr>
        <w:rPr>
          <w:rFonts w:ascii="Arial" w:hAnsi="Arial" w:cs="Arial"/>
          <w:sz w:val="24"/>
          <w:szCs w:val="24"/>
        </w:rPr>
      </w:pPr>
    </w:p>
    <w:p w:rsidR="00AE0B27" w:rsidP="00AE0B27">
      <w:pPr>
        <w:rPr>
          <w:rFonts w:ascii="Arial" w:hAnsi="Arial" w:cs="Arial"/>
          <w:sz w:val="24"/>
          <w:szCs w:val="24"/>
        </w:rPr>
      </w:pPr>
    </w:p>
    <w:p w:rsidR="00AE0B27" w:rsidP="00AE0B27">
      <w:pPr>
        <w:rPr>
          <w:rFonts w:ascii="Arial" w:hAnsi="Arial" w:cs="Arial"/>
          <w:sz w:val="24"/>
          <w:szCs w:val="24"/>
        </w:rPr>
      </w:pPr>
    </w:p>
    <w:p w:rsidR="002106F1" w:rsidP="00AE0B27">
      <w:pPr>
        <w:rPr>
          <w:rFonts w:ascii="Arial" w:hAnsi="Arial" w:cs="Arial"/>
          <w:sz w:val="24"/>
          <w:szCs w:val="24"/>
        </w:rPr>
      </w:pPr>
    </w:p>
    <w:p w:rsidR="00AE0B27" w:rsidP="00AE0B27">
      <w:pPr>
        <w:spacing w:line="480" w:lineRule="auto"/>
        <w:jc w:val="center"/>
        <w:rPr>
          <w:rFonts w:ascii="Arial" w:hAnsi="Arial" w:cs="Arial"/>
          <w:b/>
          <w:sz w:val="24"/>
          <w:szCs w:val="24"/>
        </w:rPr>
      </w:pPr>
      <w:r>
        <w:rPr>
          <w:rFonts w:ascii="Arial" w:hAnsi="Arial" w:cs="Arial"/>
          <w:b/>
          <w:sz w:val="24"/>
          <w:szCs w:val="24"/>
        </w:rPr>
        <w:t xml:space="preserve">Buchanan and </w:t>
      </w:r>
      <w:r>
        <w:rPr>
          <w:rFonts w:ascii="Arial" w:hAnsi="Arial" w:cs="Arial"/>
          <w:b/>
          <w:sz w:val="24"/>
          <w:szCs w:val="24"/>
        </w:rPr>
        <w:t>Forst</w:t>
      </w:r>
    </w:p>
    <w:p w:rsidR="002106F1" w:rsidP="00195330">
      <w:pPr>
        <w:spacing w:line="480" w:lineRule="auto"/>
        <w:ind w:firstLine="720"/>
        <w:rPr>
          <w:rFonts w:ascii="Arial" w:hAnsi="Arial" w:cs="Arial"/>
          <w:sz w:val="24"/>
          <w:szCs w:val="24"/>
        </w:rPr>
      </w:pPr>
      <w:r>
        <w:rPr>
          <w:rFonts w:ascii="Arial" w:hAnsi="Arial" w:cs="Arial"/>
          <w:sz w:val="24"/>
          <w:szCs w:val="24"/>
        </w:rPr>
        <w:t xml:space="preserve">Human rights </w:t>
      </w:r>
      <w:r w:rsidR="0018664F">
        <w:rPr>
          <w:rFonts w:ascii="Arial" w:hAnsi="Arial" w:cs="Arial"/>
          <w:sz w:val="24"/>
          <w:szCs w:val="24"/>
        </w:rPr>
        <w:t>form</w:t>
      </w:r>
      <w:r>
        <w:rPr>
          <w:rFonts w:ascii="Arial" w:hAnsi="Arial" w:cs="Arial"/>
          <w:sz w:val="24"/>
          <w:szCs w:val="24"/>
        </w:rPr>
        <w:t xml:space="preserve"> a fundamental </w:t>
      </w:r>
      <w:r w:rsidR="00195330">
        <w:rPr>
          <w:rFonts w:ascii="Arial" w:hAnsi="Arial" w:cs="Arial"/>
          <w:sz w:val="24"/>
          <w:szCs w:val="24"/>
        </w:rPr>
        <w:t xml:space="preserve">core of humanity since they prevent </w:t>
      </w:r>
      <w:r w:rsidR="0018664F">
        <w:rPr>
          <w:rFonts w:ascii="Arial" w:hAnsi="Arial" w:cs="Arial"/>
          <w:sz w:val="24"/>
          <w:szCs w:val="24"/>
        </w:rPr>
        <w:t xml:space="preserve">political leaders from exploiting their subjects. Human rights are enshrined in the constitution, and it </w:t>
      </w:r>
      <w:r w:rsidR="008B3880">
        <w:rPr>
          <w:rFonts w:ascii="Arial" w:hAnsi="Arial" w:cs="Arial"/>
          <w:sz w:val="24"/>
          <w:szCs w:val="24"/>
        </w:rPr>
        <w:t xml:space="preserve">is </w:t>
      </w:r>
      <w:r w:rsidR="0018664F">
        <w:rPr>
          <w:rFonts w:ascii="Arial" w:hAnsi="Arial" w:cs="Arial"/>
          <w:sz w:val="24"/>
          <w:szCs w:val="24"/>
        </w:rPr>
        <w:t xml:space="preserve">binding to all stakeholders since they outline the code of conduct that they ought to adhere. </w:t>
      </w:r>
      <w:r w:rsidR="00120D2B">
        <w:rPr>
          <w:rFonts w:ascii="Arial" w:hAnsi="Arial" w:cs="Arial"/>
          <w:sz w:val="24"/>
          <w:szCs w:val="24"/>
        </w:rPr>
        <w:t xml:space="preserve">However, </w:t>
      </w:r>
      <w:r w:rsidR="00D95265">
        <w:rPr>
          <w:rFonts w:ascii="Arial" w:hAnsi="Arial" w:cs="Arial"/>
          <w:sz w:val="24"/>
          <w:szCs w:val="24"/>
        </w:rPr>
        <w:t>human rights raise</w:t>
      </w:r>
      <w:r w:rsidR="00120D2B">
        <w:rPr>
          <w:rFonts w:ascii="Arial" w:hAnsi="Arial" w:cs="Arial"/>
          <w:sz w:val="24"/>
          <w:szCs w:val="24"/>
        </w:rPr>
        <w:t xml:space="preserve"> philosophical questions </w:t>
      </w:r>
      <w:r w:rsidR="00C90DD8">
        <w:rPr>
          <w:rFonts w:ascii="Arial" w:hAnsi="Arial" w:cs="Arial"/>
          <w:sz w:val="24"/>
          <w:szCs w:val="24"/>
        </w:rPr>
        <w:t xml:space="preserve">on their impact on </w:t>
      </w:r>
      <w:r w:rsidR="00D95265">
        <w:rPr>
          <w:rFonts w:ascii="Arial" w:hAnsi="Arial" w:cs="Arial"/>
          <w:sz w:val="24"/>
          <w:szCs w:val="24"/>
        </w:rPr>
        <w:t xml:space="preserve">global justice </w:t>
      </w:r>
      <w:r w:rsidR="0051493E">
        <w:rPr>
          <w:rFonts w:ascii="Arial" w:hAnsi="Arial" w:cs="Arial"/>
          <w:sz w:val="24"/>
          <w:szCs w:val="24"/>
        </w:rPr>
        <w:t xml:space="preserve">since they have consistently been violated. </w:t>
      </w:r>
      <w:r w:rsidR="00A50C28">
        <w:rPr>
          <w:rFonts w:ascii="Arial" w:hAnsi="Arial" w:cs="Arial"/>
          <w:sz w:val="24"/>
          <w:szCs w:val="24"/>
        </w:rPr>
        <w:t xml:space="preserve">Allen </w:t>
      </w:r>
      <w:r w:rsidR="008B3880">
        <w:rPr>
          <w:rFonts w:ascii="Arial" w:hAnsi="Arial" w:cs="Arial"/>
          <w:sz w:val="24"/>
          <w:szCs w:val="24"/>
        </w:rPr>
        <w:t xml:space="preserve">Buchanan and </w:t>
      </w:r>
      <w:r w:rsidR="00A50C28">
        <w:rPr>
          <w:rFonts w:ascii="Arial" w:hAnsi="Arial" w:cs="Arial"/>
          <w:sz w:val="24"/>
          <w:szCs w:val="24"/>
        </w:rPr>
        <w:t xml:space="preserve">Rainer </w:t>
      </w:r>
      <w:r w:rsidR="008B3880">
        <w:rPr>
          <w:rFonts w:ascii="Arial" w:hAnsi="Arial" w:cs="Arial"/>
          <w:sz w:val="24"/>
          <w:szCs w:val="24"/>
        </w:rPr>
        <w:t>Forst</w:t>
      </w:r>
      <w:r w:rsidR="008B3880">
        <w:rPr>
          <w:rFonts w:ascii="Arial" w:hAnsi="Arial" w:cs="Arial"/>
          <w:sz w:val="24"/>
          <w:szCs w:val="24"/>
        </w:rPr>
        <w:t xml:space="preserve"> have different philosophical perspectives on the political legitimacy of the standards used to measure human rights. </w:t>
      </w:r>
      <w:r w:rsidR="0051493E">
        <w:rPr>
          <w:rFonts w:ascii="Arial" w:hAnsi="Arial" w:cs="Arial"/>
          <w:sz w:val="24"/>
          <w:szCs w:val="24"/>
        </w:rPr>
        <w:t xml:space="preserve">The essay contrasts the ideologies </w:t>
      </w:r>
      <w:r w:rsidR="008B3880">
        <w:rPr>
          <w:rFonts w:ascii="Arial" w:hAnsi="Arial" w:cs="Arial"/>
          <w:sz w:val="24"/>
          <w:szCs w:val="24"/>
        </w:rPr>
        <w:t xml:space="preserve">of Buchanan and </w:t>
      </w:r>
      <w:r w:rsidR="008B3880">
        <w:rPr>
          <w:rFonts w:ascii="Arial" w:hAnsi="Arial" w:cs="Arial"/>
          <w:sz w:val="24"/>
          <w:szCs w:val="24"/>
        </w:rPr>
        <w:t>Forst</w:t>
      </w:r>
      <w:r w:rsidR="008B3880">
        <w:rPr>
          <w:rFonts w:ascii="Arial" w:hAnsi="Arial" w:cs="Arial"/>
          <w:sz w:val="24"/>
          <w:szCs w:val="24"/>
        </w:rPr>
        <w:t xml:space="preserve"> on the justification of human rights. Therefore, the composition provides a conceptual framework on the divergent opinions and determining which one is more convincing through a comprehensive analysis of their weakness and real-world applications.
</w:t>
      </w:r>
    </w:p>
    <w:p w:rsidR="00C44A00" w:rsidP="007339C5">
      <w:pPr>
        <w:spacing w:line="480" w:lineRule="auto"/>
        <w:ind w:firstLine="720"/>
        <w:rPr>
          <w:rFonts w:ascii="Arial" w:hAnsi="Arial" w:cs="Arial"/>
          <w:sz w:val="24"/>
          <w:szCs w:val="24"/>
        </w:rPr>
      </w:pPr>
      <w:r>
        <w:rPr>
          <w:rFonts w:ascii="Arial" w:hAnsi="Arial" w:cs="Arial"/>
          <w:sz w:val="24"/>
          <w:szCs w:val="24"/>
        </w:rPr>
        <w:t>Forst’s</w:t>
      </w:r>
      <w:r>
        <w:rPr>
          <w:rFonts w:ascii="Arial" w:hAnsi="Arial" w:cs="Arial"/>
          <w:sz w:val="24"/>
          <w:szCs w:val="24"/>
        </w:rPr>
        <w:t xml:space="preserve"> argument is more convincing than Buchanan's since optimal distributive notion suggested by Buchanan can only be useful when the rights of individuals are protected, and the plights of the victims of injustice addressed.</w:t>
      </w:r>
      <w:r>
        <w:rPr>
          <w:rFonts w:ascii="Arial" w:hAnsi="Arial" w:cs="Arial"/>
          <w:sz w:val="24"/>
          <w:szCs w:val="24"/>
        </w:rPr>
        <w:t xml:space="preserve"> </w:t>
      </w:r>
      <w:r w:rsidR="00A50C28">
        <w:rPr>
          <w:rFonts w:ascii="Arial" w:hAnsi="Arial" w:cs="Arial"/>
          <w:sz w:val="24"/>
          <w:szCs w:val="24"/>
        </w:rPr>
        <w:t>Forst</w:t>
      </w:r>
      <w:r w:rsidR="00A50C28">
        <w:rPr>
          <w:rFonts w:ascii="Arial" w:hAnsi="Arial" w:cs="Arial"/>
          <w:sz w:val="24"/>
          <w:szCs w:val="24"/>
        </w:rPr>
        <w:t xml:space="preserve"> is critical that the centrality of human rights revolves around the social aspects that</w:t>
      </w:r>
      <w:r w:rsidR="002D49D2">
        <w:rPr>
          <w:rFonts w:ascii="Arial" w:hAnsi="Arial" w:cs="Arial"/>
          <w:sz w:val="24"/>
          <w:szCs w:val="24"/>
        </w:rPr>
        <w:t xml:space="preserve"> are</w:t>
      </w:r>
      <w:r w:rsidR="00A50C28">
        <w:rPr>
          <w:rFonts w:ascii="Arial" w:hAnsi="Arial" w:cs="Arial"/>
          <w:sz w:val="24"/>
          <w:szCs w:val="24"/>
        </w:rPr>
        <w:t xml:space="preserve"> often overlooked at the expense of the suffering of the victims.</w:t>
      </w:r>
      <w:r w:rsidR="009D0E8F">
        <w:rPr>
          <w:rFonts w:ascii="Arial" w:hAnsi="Arial" w:cs="Arial"/>
          <w:sz w:val="24"/>
          <w:szCs w:val="24"/>
        </w:rPr>
        <w:t xml:space="preserve"> (</w:t>
      </w:r>
      <w:r w:rsidR="009D0E8F">
        <w:rPr>
          <w:rFonts w:ascii="Arial" w:hAnsi="Arial" w:cs="Arial"/>
          <w:sz w:val="24"/>
          <w:szCs w:val="24"/>
        </w:rPr>
        <w:t>Forst</w:t>
      </w:r>
      <w:r w:rsidR="009D0E8F">
        <w:rPr>
          <w:rFonts w:ascii="Arial" w:hAnsi="Arial" w:cs="Arial"/>
          <w:sz w:val="24"/>
          <w:szCs w:val="24"/>
        </w:rPr>
        <w:t>, 2010)</w:t>
      </w:r>
      <w:r>
        <w:rPr>
          <w:rFonts w:ascii="Arial" w:hAnsi="Arial" w:cs="Arial"/>
          <w:sz w:val="24"/>
          <w:szCs w:val="24"/>
        </w:rPr>
        <w:t xml:space="preserve"> </w:t>
      </w:r>
      <w:r w:rsidR="00A50C28">
        <w:rPr>
          <w:rFonts w:ascii="Arial" w:hAnsi="Arial" w:cs="Arial"/>
          <w:sz w:val="24"/>
          <w:szCs w:val="24"/>
        </w:rPr>
        <w:t xml:space="preserve">He believes that human rights play an integral part in the reformation of the social organization </w:t>
      </w:r>
      <w:r w:rsidR="002D49D2">
        <w:rPr>
          <w:rFonts w:ascii="Arial" w:hAnsi="Arial" w:cs="Arial"/>
          <w:sz w:val="24"/>
          <w:szCs w:val="24"/>
        </w:rPr>
        <w:t>since they validate the equal treatment among every individual. In this regards, the underpinning aspects for justification of respect for human rights idealizes specific actions as acceptable while others as disrespectful</w:t>
      </w:r>
      <w:r w:rsidR="001D614B">
        <w:rPr>
          <w:rFonts w:ascii="Arial" w:hAnsi="Arial" w:cs="Arial"/>
          <w:sz w:val="24"/>
          <w:szCs w:val="24"/>
        </w:rPr>
        <w:t>. Therefore</w:t>
      </w:r>
      <w:r w:rsidR="002D49D2">
        <w:rPr>
          <w:rFonts w:ascii="Arial" w:hAnsi="Arial" w:cs="Arial"/>
          <w:sz w:val="24"/>
          <w:szCs w:val="24"/>
        </w:rPr>
        <w:t>, he argues that for the application of human rights to be efficient, there social and political organizations should work hand in hand</w:t>
      </w:r>
      <w:r w:rsidR="001D614B">
        <w:rPr>
          <w:rFonts w:ascii="Arial" w:hAnsi="Arial" w:cs="Arial"/>
          <w:sz w:val="24"/>
          <w:szCs w:val="24"/>
        </w:rPr>
        <w:t xml:space="preserve"> to ensure that the victims receive justice.</w:t>
      </w:r>
      <w:r>
        <w:rPr>
          <w:rFonts w:ascii="Arial" w:hAnsi="Arial" w:cs="Arial"/>
          <w:sz w:val="24"/>
          <w:szCs w:val="24"/>
        </w:rPr>
        <w:t xml:space="preserve"> </w:t>
      </w:r>
    </w:p>
    <w:p w:rsidR="005D2822" w:rsidP="005D2822">
      <w:pPr>
        <w:spacing w:line="480" w:lineRule="auto"/>
        <w:ind w:firstLine="720"/>
        <w:rPr>
          <w:rFonts w:ascii="Arial" w:hAnsi="Arial" w:cs="Arial"/>
          <w:sz w:val="24"/>
          <w:szCs w:val="24"/>
        </w:rPr>
      </w:pPr>
      <w:r>
        <w:rPr>
          <w:rFonts w:ascii="Arial" w:hAnsi="Arial" w:cs="Arial"/>
          <w:sz w:val="24"/>
          <w:szCs w:val="24"/>
        </w:rPr>
        <w:t xml:space="preserve">Conversely, Buchanan </w:t>
      </w:r>
      <w:r w:rsidR="00187390">
        <w:rPr>
          <w:rFonts w:ascii="Arial" w:hAnsi="Arial" w:cs="Arial"/>
          <w:sz w:val="24"/>
          <w:szCs w:val="24"/>
        </w:rPr>
        <w:t>argues that the importance of human rights is attached to the sovereignty of</w:t>
      </w:r>
      <w:r>
        <w:rPr>
          <w:rFonts w:ascii="Arial" w:hAnsi="Arial" w:cs="Arial"/>
          <w:sz w:val="24"/>
          <w:szCs w:val="24"/>
        </w:rPr>
        <w:t xml:space="preserve"> </w:t>
      </w:r>
      <w:r w:rsidR="00187390">
        <w:rPr>
          <w:rFonts w:ascii="Arial" w:hAnsi="Arial" w:cs="Arial"/>
          <w:sz w:val="24"/>
          <w:szCs w:val="24"/>
        </w:rPr>
        <w:t>the political system of a state. He articulates that the underlying needs for human rights should focus on their alignment to constitutional principles</w:t>
      </w:r>
      <w:r w:rsidR="009D0E8F">
        <w:rPr>
          <w:rFonts w:ascii="Arial" w:hAnsi="Arial" w:cs="Arial"/>
          <w:sz w:val="24"/>
          <w:szCs w:val="24"/>
        </w:rPr>
        <w:t xml:space="preserve"> (Buchanan, 2010)</w:t>
      </w:r>
      <w:r w:rsidR="00187390">
        <w:rPr>
          <w:rFonts w:ascii="Arial" w:hAnsi="Arial" w:cs="Arial"/>
          <w:sz w:val="24"/>
          <w:szCs w:val="24"/>
        </w:rPr>
        <w:t xml:space="preserve">. Therefore, global legal-institutional phenomenon should employ legal practices and doctrines that promote independence and the perception of the international community on human rights. </w:t>
      </w:r>
      <w:r w:rsidR="00AB3CEB">
        <w:rPr>
          <w:rFonts w:ascii="Arial" w:hAnsi="Arial" w:cs="Arial"/>
          <w:sz w:val="24"/>
          <w:szCs w:val="24"/>
        </w:rPr>
        <w:t xml:space="preserve"> </w:t>
      </w:r>
    </w:p>
    <w:p w:rsidR="007339C5" w:rsidP="005D2822">
      <w:pPr>
        <w:spacing w:line="480" w:lineRule="auto"/>
        <w:ind w:firstLine="720"/>
        <w:rPr>
          <w:rFonts w:ascii="Arial" w:hAnsi="Arial" w:cs="Arial"/>
          <w:sz w:val="24"/>
          <w:szCs w:val="24"/>
        </w:rPr>
      </w:pPr>
      <w:r>
        <w:rPr>
          <w:rFonts w:ascii="Arial" w:hAnsi="Arial" w:cs="Arial"/>
          <w:sz w:val="24"/>
          <w:szCs w:val="24"/>
        </w:rPr>
        <w:t>Forst’s</w:t>
      </w:r>
      <w:r>
        <w:rPr>
          <w:rFonts w:ascii="Arial" w:hAnsi="Arial" w:cs="Arial"/>
          <w:sz w:val="24"/>
          <w:szCs w:val="24"/>
        </w:rPr>
        <w:t xml:space="preserve"> reply on parochialism highlights that the justification of human rights should focus on </w:t>
      </w:r>
      <w:r w:rsidR="00F603C8">
        <w:rPr>
          <w:rFonts w:ascii="Arial" w:hAnsi="Arial" w:cs="Arial"/>
          <w:sz w:val="24"/>
          <w:szCs w:val="24"/>
        </w:rPr>
        <w:t xml:space="preserve">the </w:t>
      </w:r>
      <w:r>
        <w:rPr>
          <w:rFonts w:ascii="Arial" w:hAnsi="Arial" w:cs="Arial"/>
          <w:sz w:val="24"/>
          <w:szCs w:val="24"/>
        </w:rPr>
        <w:t xml:space="preserve">moral justification </w:t>
      </w:r>
      <w:r w:rsidR="00F603C8">
        <w:rPr>
          <w:rFonts w:ascii="Arial" w:hAnsi="Arial" w:cs="Arial"/>
          <w:sz w:val="24"/>
          <w:szCs w:val="24"/>
        </w:rPr>
        <w:t>of political and social organizations about providing justice to individuals. Therefore, the efficacy of human rights should reflect on the good life the individuals enjoy. On the other hand, Buchanan implies that human rights need to propagate equality status among all individuals in the world. In this regard, he argues that individuals should have equal access to material possession regardless of cultural or ethnic affiliation.</w:t>
      </w:r>
      <w:r w:rsidR="00960500">
        <w:rPr>
          <w:rFonts w:ascii="Arial" w:hAnsi="Arial" w:cs="Arial"/>
          <w:sz w:val="24"/>
          <w:szCs w:val="24"/>
        </w:rPr>
        <w:t xml:space="preserve"> </w:t>
      </w:r>
      <w:r w:rsidR="00DC2A9E">
        <w:rPr>
          <w:rFonts w:ascii="Arial" w:hAnsi="Arial" w:cs="Arial"/>
          <w:sz w:val="24"/>
          <w:szCs w:val="24"/>
        </w:rPr>
        <w:t xml:space="preserve"> Therefore, rights against gender discrimination and equal treatment only show liberalism, not human rights. </w:t>
      </w:r>
      <w:r w:rsidR="00960500">
        <w:rPr>
          <w:rFonts w:ascii="Arial" w:hAnsi="Arial" w:cs="Arial"/>
          <w:sz w:val="24"/>
          <w:szCs w:val="24"/>
        </w:rPr>
        <w:t xml:space="preserve">The weakness in Buchanan’s reply </w:t>
      </w:r>
      <w:r w:rsidR="00DC2A9E">
        <w:rPr>
          <w:rFonts w:ascii="Arial" w:hAnsi="Arial" w:cs="Arial"/>
          <w:sz w:val="24"/>
          <w:szCs w:val="24"/>
        </w:rPr>
        <w:t>is that the social-comparative system cannot practically accord every individual equal status</w:t>
      </w:r>
      <w:r w:rsidR="009D0E8F">
        <w:rPr>
          <w:rFonts w:ascii="Arial" w:hAnsi="Arial" w:cs="Arial"/>
          <w:sz w:val="24"/>
          <w:szCs w:val="24"/>
        </w:rPr>
        <w:t xml:space="preserve"> (Buchanan, 2010)</w:t>
      </w:r>
      <w:r w:rsidR="00DC2A9E">
        <w:rPr>
          <w:rFonts w:ascii="Arial" w:hAnsi="Arial" w:cs="Arial"/>
          <w:sz w:val="24"/>
          <w:szCs w:val="24"/>
        </w:rPr>
        <w:t xml:space="preserve">. Countries take pride in their egalitarian distribution of natural resources and can never give them up to foster equality. Conversely, </w:t>
      </w:r>
      <w:r w:rsidR="00DC2A9E">
        <w:rPr>
          <w:rFonts w:ascii="Arial" w:hAnsi="Arial" w:cs="Arial"/>
          <w:sz w:val="24"/>
          <w:szCs w:val="24"/>
        </w:rPr>
        <w:t>Forst’s</w:t>
      </w:r>
      <w:r w:rsidR="00DC2A9E">
        <w:rPr>
          <w:rFonts w:ascii="Arial" w:hAnsi="Arial" w:cs="Arial"/>
          <w:sz w:val="24"/>
          <w:szCs w:val="24"/>
        </w:rPr>
        <w:t xml:space="preserve"> reply</w:t>
      </w:r>
      <w:r w:rsidR="00AD7069">
        <w:rPr>
          <w:rFonts w:ascii="Arial" w:hAnsi="Arial" w:cs="Arial"/>
          <w:sz w:val="24"/>
          <w:szCs w:val="24"/>
        </w:rPr>
        <w:t xml:space="preserve"> only focuses on the normative aspects of human rights and overlooks the dignity of ind</w:t>
      </w:r>
      <w:r w:rsidR="001D614B">
        <w:rPr>
          <w:rFonts w:ascii="Arial" w:hAnsi="Arial" w:cs="Arial"/>
          <w:sz w:val="24"/>
          <w:szCs w:val="24"/>
        </w:rPr>
        <w:t>ividuals. Their responses are instrumental in disregarding parochialism ideas empower certain individuals while oppressing others.
</w:t>
      </w:r>
    </w:p>
    <w:p w:rsidR="001D614B" w:rsidP="005D2822">
      <w:pPr>
        <w:spacing w:line="480" w:lineRule="auto"/>
        <w:ind w:firstLine="720"/>
        <w:rPr>
          <w:rFonts w:ascii="Arial" w:hAnsi="Arial" w:cs="Arial"/>
          <w:sz w:val="24"/>
          <w:szCs w:val="24"/>
        </w:rPr>
      </w:pPr>
      <w:r>
        <w:rPr>
          <w:rFonts w:ascii="Arial" w:hAnsi="Arial" w:cs="Arial"/>
          <w:sz w:val="24"/>
          <w:szCs w:val="24"/>
        </w:rPr>
        <w:t>A real-world instance of parochialism is the s</w:t>
      </w:r>
      <w:r w:rsidR="00CC2D85">
        <w:rPr>
          <w:rFonts w:ascii="Arial" w:hAnsi="Arial" w:cs="Arial"/>
          <w:sz w:val="24"/>
          <w:szCs w:val="24"/>
        </w:rPr>
        <w:t xml:space="preserve">lavery of the people of color experienced </w:t>
      </w:r>
      <w:r w:rsidR="00DA6EF2">
        <w:rPr>
          <w:rFonts w:ascii="Arial" w:hAnsi="Arial" w:cs="Arial"/>
          <w:sz w:val="24"/>
          <w:szCs w:val="24"/>
        </w:rPr>
        <w:t>during</w:t>
      </w:r>
      <w:r w:rsidR="00CC2D85">
        <w:rPr>
          <w:rFonts w:ascii="Arial" w:hAnsi="Arial" w:cs="Arial"/>
          <w:sz w:val="24"/>
          <w:szCs w:val="24"/>
        </w:rPr>
        <w:t xml:space="preserve"> the colonial era. </w:t>
      </w:r>
      <w:r w:rsidR="00DA6EF2">
        <w:rPr>
          <w:rFonts w:ascii="Arial" w:hAnsi="Arial" w:cs="Arial"/>
          <w:sz w:val="24"/>
          <w:szCs w:val="24"/>
        </w:rPr>
        <w:t>Parochialists</w:t>
      </w:r>
      <w:r w:rsidR="00DA6EF2">
        <w:rPr>
          <w:rFonts w:ascii="Arial" w:hAnsi="Arial" w:cs="Arial"/>
          <w:sz w:val="24"/>
          <w:szCs w:val="24"/>
        </w:rPr>
        <w:t xml:space="preserve"> claim that colonization helped acquire education and civilization yet they exploited them for their material gain. They took </w:t>
      </w:r>
      <w:r w:rsidR="00DA6EF2">
        <w:rPr>
          <w:rFonts w:ascii="Arial" w:hAnsi="Arial" w:cs="Arial"/>
          <w:sz w:val="24"/>
          <w:szCs w:val="24"/>
        </w:rPr>
        <w:t xml:space="preserve">control of most of their natural resources and left them languishing in poverty. </w:t>
      </w:r>
      <w:r w:rsidR="009D0E8F">
        <w:rPr>
          <w:rFonts w:ascii="Arial" w:hAnsi="Arial" w:cs="Arial"/>
          <w:sz w:val="24"/>
          <w:szCs w:val="24"/>
        </w:rPr>
        <w:t xml:space="preserve">Slave trade, therefore, provides insight into </w:t>
      </w:r>
      <w:r w:rsidR="009D0E8F">
        <w:rPr>
          <w:rFonts w:ascii="Arial" w:hAnsi="Arial" w:cs="Arial"/>
          <w:sz w:val="24"/>
          <w:szCs w:val="24"/>
        </w:rPr>
        <w:t>parochialists</w:t>
      </w:r>
      <w:r w:rsidR="009D0E8F">
        <w:rPr>
          <w:rFonts w:ascii="Arial" w:hAnsi="Arial" w:cs="Arial"/>
          <w:sz w:val="24"/>
          <w:szCs w:val="24"/>
        </w:rPr>
        <w:t>’ efforts to hide historical truths.</w:t>
      </w:r>
    </w:p>
    <w:p w:rsidR="00FB5E48" w:rsidP="005D2822">
      <w:pPr>
        <w:spacing w:line="480" w:lineRule="auto"/>
        <w:ind w:firstLine="720"/>
        <w:rPr>
          <w:rFonts w:ascii="Arial" w:hAnsi="Arial" w:cs="Arial"/>
          <w:sz w:val="24"/>
          <w:szCs w:val="24"/>
        </w:rPr>
      </w:pPr>
      <w:r>
        <w:rPr>
          <w:rFonts w:ascii="Arial" w:hAnsi="Arial" w:cs="Arial"/>
          <w:sz w:val="24"/>
          <w:szCs w:val="24"/>
        </w:rPr>
        <w:t xml:space="preserve">In conclusion, human rights are meant to empower humans and to exploit them. Buchanan explains how distributive equal status is important while </w:t>
      </w:r>
      <w:r>
        <w:rPr>
          <w:rFonts w:ascii="Arial" w:hAnsi="Arial" w:cs="Arial"/>
          <w:sz w:val="24"/>
          <w:szCs w:val="24"/>
        </w:rPr>
        <w:t>Forst</w:t>
      </w:r>
      <w:r>
        <w:rPr>
          <w:rFonts w:ascii="Arial" w:hAnsi="Arial" w:cs="Arial"/>
          <w:sz w:val="24"/>
          <w:szCs w:val="24"/>
        </w:rPr>
        <w:t xml:space="preserve"> highlights the need to recognize the suffering to justify human rights. Buchanan reply on parochialism extends beyond mere liberalism while </w:t>
      </w:r>
      <w:r>
        <w:rPr>
          <w:rFonts w:ascii="Arial" w:hAnsi="Arial" w:cs="Arial"/>
          <w:sz w:val="24"/>
          <w:szCs w:val="24"/>
        </w:rPr>
        <w:t>Forst</w:t>
      </w:r>
      <w:r>
        <w:rPr>
          <w:rFonts w:ascii="Arial" w:hAnsi="Arial" w:cs="Arial"/>
          <w:sz w:val="24"/>
          <w:szCs w:val="24"/>
        </w:rPr>
        <w:t xml:space="preserve"> insists on moral justification of the structures in place. However, both answers have their drawbacks, and this explains the vastness of comprehension of human rights. </w:t>
      </w:r>
      <w:r w:rsidR="00DA6EF2">
        <w:rPr>
          <w:rFonts w:ascii="Arial" w:hAnsi="Arial" w:cs="Arial"/>
          <w:sz w:val="24"/>
          <w:szCs w:val="24"/>
        </w:rPr>
        <w:t xml:space="preserve"> </w:t>
      </w:r>
    </w:p>
    <w:p w:rsidR="00F603C8" w:rsidP="005D2822">
      <w:pPr>
        <w:spacing w:line="480" w:lineRule="auto"/>
        <w:ind w:firstLine="720"/>
        <w:rPr>
          <w:rFonts w:ascii="Arial" w:hAnsi="Arial" w:cs="Arial"/>
          <w:sz w:val="24"/>
          <w:szCs w:val="24"/>
        </w:rPr>
      </w:pPr>
    </w:p>
    <w:p w:rsidR="005D2822" w:rsidRPr="00A50C28" w:rsidP="005D2822">
      <w:pPr>
        <w:spacing w:line="480" w:lineRule="auto"/>
        <w:ind w:firstLine="720"/>
        <w:rPr>
          <w:rFonts w:ascii="Arial" w:hAnsi="Arial" w:cs="Arial"/>
          <w:sz w:val="24"/>
          <w:szCs w:val="24"/>
        </w:rPr>
      </w:pPr>
      <w:bookmarkStart w:id="0" w:name="_GoBack"/>
      <w:bookmarkEnd w:id="0"/>
    </w:p>
    <w:p w:rsidR="00AE0B27"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AE0B27">
      <w:pPr>
        <w:rPr>
          <w:rFonts w:ascii="Arial" w:hAnsi="Arial" w:cs="Arial"/>
          <w:sz w:val="24"/>
          <w:szCs w:val="24"/>
        </w:rPr>
      </w:pPr>
    </w:p>
    <w:p w:rsidR="009D0E8F" w:rsidP="009D0E8F">
      <w:pPr>
        <w:jc w:val="center"/>
        <w:rPr>
          <w:rFonts w:ascii="Arial" w:hAnsi="Arial" w:cs="Arial"/>
          <w:sz w:val="24"/>
          <w:szCs w:val="24"/>
        </w:rPr>
      </w:pPr>
      <w:r>
        <w:rPr>
          <w:rFonts w:ascii="Arial" w:hAnsi="Arial" w:cs="Arial"/>
          <w:sz w:val="24"/>
          <w:szCs w:val="24"/>
        </w:rPr>
        <w:t>References</w:t>
      </w:r>
    </w:p>
    <w:p w:rsidR="009D0E8F" w:rsidP="009D0E8F">
      <w:pPr>
        <w:spacing w:line="480" w:lineRule="auto"/>
        <w:rPr>
          <w:rFonts w:ascii="Arial" w:hAnsi="Arial" w:cs="Arial"/>
          <w:sz w:val="24"/>
          <w:szCs w:val="24"/>
        </w:rPr>
      </w:pPr>
      <w:r>
        <w:rPr>
          <w:rFonts w:ascii="Arial" w:hAnsi="Arial" w:cs="Arial"/>
          <w:sz w:val="24"/>
          <w:szCs w:val="24"/>
        </w:rPr>
        <w:t xml:space="preserve">Buchanan, A. (2010). The egalitarianism of human rights: The University of Chicago </w:t>
      </w:r>
    </w:p>
    <w:p w:rsidR="009D0E8F" w:rsidP="009D0E8F">
      <w:pPr>
        <w:spacing w:line="480" w:lineRule="auto"/>
        <w:rPr>
          <w:rFonts w:ascii="Arial" w:hAnsi="Arial" w:cs="Arial"/>
          <w:sz w:val="24"/>
          <w:szCs w:val="24"/>
        </w:rPr>
      </w:pPr>
      <w:r>
        <w:rPr>
          <w:rFonts w:ascii="Arial" w:hAnsi="Arial" w:cs="Arial"/>
          <w:sz w:val="24"/>
          <w:szCs w:val="24"/>
        </w:rPr>
        <w:tab/>
        <w:t xml:space="preserve">Press Journals. </w:t>
      </w:r>
      <w:r>
        <w:rPr>
          <w:rFonts w:ascii="Arial" w:hAnsi="Arial" w:cs="Arial"/>
          <w:sz w:val="24"/>
          <w:szCs w:val="24"/>
        </w:rPr>
        <w:t>120(4), University of Chicago Press, 679- 709.</w:t>
      </w:r>
    </w:p>
    <w:p w:rsidR="009D0E8F" w:rsidP="009D0E8F">
      <w:pPr>
        <w:spacing w:line="480" w:lineRule="auto"/>
        <w:rPr>
          <w:rFonts w:ascii="Arial" w:hAnsi="Arial" w:cs="Arial"/>
          <w:sz w:val="24"/>
          <w:szCs w:val="24"/>
        </w:rPr>
      </w:pPr>
      <w:r>
        <w:rPr>
          <w:rFonts w:ascii="Arial" w:hAnsi="Arial" w:cs="Arial"/>
          <w:sz w:val="24"/>
          <w:szCs w:val="24"/>
        </w:rPr>
        <w:t>Forst</w:t>
      </w:r>
      <w:r>
        <w:rPr>
          <w:rFonts w:ascii="Arial" w:hAnsi="Arial" w:cs="Arial"/>
          <w:sz w:val="24"/>
          <w:szCs w:val="24"/>
        </w:rPr>
        <w:t>, R. (2010). The justification of human rights and the basic rights to justification:</w:t>
      </w:r>
    </w:p>
    <w:p w:rsidR="009D0E8F" w:rsidP="009D0E8F">
      <w:pPr>
        <w:spacing w:line="480" w:lineRule="auto"/>
        <w:rPr>
          <w:rFonts w:ascii="Arial" w:hAnsi="Arial" w:cs="Arial"/>
          <w:sz w:val="24"/>
          <w:szCs w:val="24"/>
        </w:rPr>
      </w:pPr>
      <w:r>
        <w:rPr>
          <w:rFonts w:ascii="Arial" w:hAnsi="Arial" w:cs="Arial"/>
          <w:sz w:val="24"/>
          <w:szCs w:val="24"/>
        </w:rPr>
        <w:tab/>
      </w:r>
      <w:r>
        <w:rPr>
          <w:rFonts w:ascii="Arial" w:hAnsi="Arial" w:cs="Arial"/>
          <w:sz w:val="24"/>
          <w:szCs w:val="24"/>
        </w:rPr>
        <w:t>A Reflexive Approach.</w:t>
      </w:r>
      <w:r>
        <w:rPr>
          <w:rFonts w:ascii="Arial" w:hAnsi="Arial" w:cs="Arial"/>
          <w:sz w:val="24"/>
          <w:szCs w:val="24"/>
        </w:rPr>
        <w:t xml:space="preserve"> </w:t>
      </w:r>
      <w:r>
        <w:rPr>
          <w:rFonts w:ascii="Arial" w:hAnsi="Arial" w:cs="Arial"/>
          <w:sz w:val="24"/>
          <w:szCs w:val="24"/>
        </w:rPr>
        <w:t>The University of Chicago Press Journals.</w:t>
      </w:r>
      <w:r>
        <w:rPr>
          <w:rFonts w:ascii="Arial" w:hAnsi="Arial" w:cs="Arial"/>
          <w:sz w:val="24"/>
          <w:szCs w:val="24"/>
        </w:rPr>
        <w:t xml:space="preserve"> 120(4), </w:t>
      </w:r>
    </w:p>
    <w:p w:rsidR="009D0E8F" w:rsidRPr="00AE0B27" w:rsidP="009D0E8F">
      <w:pPr>
        <w:spacing w:line="480" w:lineRule="auto"/>
        <w:rPr>
          <w:rFonts w:ascii="Arial" w:hAnsi="Arial" w:cs="Arial"/>
          <w:sz w:val="24"/>
          <w:szCs w:val="24"/>
        </w:rPr>
      </w:pPr>
      <w:r>
        <w:rPr>
          <w:rFonts w:ascii="Arial" w:hAnsi="Arial" w:cs="Arial"/>
          <w:sz w:val="24"/>
          <w:szCs w:val="24"/>
        </w:rPr>
        <w:tab/>
        <w:t>University of Chicago Press, 711-739.</w:t>
      </w:r>
    </w:p>
    <w:sectPr w:rsidSect="00F57B8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B27" w:rsidRPr="00AE0B27" w:rsidP="00AE0B27">
    <w:pPr>
      <w:pStyle w:val="Header"/>
      <w:spacing w:line="480" w:lineRule="auto"/>
      <w:rPr>
        <w:rFonts w:ascii="Arial" w:hAnsi="Arial" w:cs="Arial"/>
        <w:sz w:val="24"/>
        <w:szCs w:val="24"/>
      </w:rPr>
    </w:pPr>
    <w:r>
      <w:rPr>
        <w:rFonts w:ascii="Arial" w:hAnsi="Arial" w:cs="Arial"/>
        <w:sz w:val="24"/>
        <w:szCs w:val="24"/>
      </w:rPr>
      <w:t>BUCHANAN AND FORST</w:t>
    </w:r>
    <w:r>
      <w:rPr>
        <w:rFonts w:ascii="Arial" w:hAnsi="Arial" w:cs="Arial"/>
        <w:sz w:val="24"/>
        <w:szCs w:val="24"/>
      </w:rPr>
      <w:tab/>
    </w:r>
    <w:r>
      <w:rPr>
        <w:rFonts w:ascii="Arial" w:hAnsi="Arial" w:cs="Arial"/>
        <w:sz w:val="24"/>
        <w:szCs w:val="24"/>
      </w:rPr>
      <w:tab/>
    </w:r>
    <w:r>
      <w:rPr>
        <w:rFonts w:ascii="Arial" w:hAnsi="Arial" w:cs="Arial"/>
        <w:sz w:val="24"/>
        <w:szCs w:val="24"/>
      </w:rPr>
      <w:tab/>
    </w:r>
    <w:r w:rsidRPr="00AE0B27">
      <w:rPr>
        <w:rFonts w:ascii="Arial" w:hAnsi="Arial" w:cs="Arial"/>
        <w:sz w:val="24"/>
        <w:szCs w:val="24"/>
      </w:rPr>
      <w:t xml:space="preserve"> </w:t>
    </w:r>
    <w:sdt>
      <w:sdtPr>
        <w:rPr>
          <w:rFonts w:ascii="Arial" w:hAnsi="Arial" w:cs="Arial"/>
          <w:sz w:val="24"/>
          <w:szCs w:val="24"/>
        </w:rPr>
        <w:id w:val="-2070644086"/>
        <w:docPartObj>
          <w:docPartGallery w:val="Page Numbers (Top of Page)"/>
          <w:docPartUnique/>
        </w:docPartObj>
      </w:sdtPr>
      <w:sdtEndPr>
        <w:rPr>
          <w:noProof/>
        </w:rPr>
      </w:sdtEndPr>
      <w:sdtContent>
        <w:r w:rsidRPr="00AE0B27">
          <w:rPr>
            <w:rFonts w:ascii="Arial" w:hAnsi="Arial" w:cs="Arial"/>
            <w:sz w:val="24"/>
            <w:szCs w:val="24"/>
          </w:rPr>
          <w:fldChar w:fldCharType="begin"/>
        </w:r>
        <w:r w:rsidRPr="00AE0B27">
          <w:rPr>
            <w:rFonts w:ascii="Arial" w:hAnsi="Arial" w:cs="Arial"/>
            <w:sz w:val="24"/>
            <w:szCs w:val="24"/>
          </w:rPr>
          <w:instrText xml:space="preserve"> PAGE   \* MERGEFORMAT </w:instrText>
        </w:r>
        <w:r w:rsidRPr="00AE0B27">
          <w:rPr>
            <w:rFonts w:ascii="Arial" w:hAnsi="Arial" w:cs="Arial"/>
            <w:sz w:val="24"/>
            <w:szCs w:val="24"/>
          </w:rPr>
          <w:fldChar w:fldCharType="separate"/>
        </w:r>
        <w:r w:rsidR="009D0E8F">
          <w:rPr>
            <w:rFonts w:ascii="Arial" w:hAnsi="Arial" w:cs="Arial"/>
            <w:noProof/>
            <w:sz w:val="24"/>
            <w:szCs w:val="24"/>
          </w:rPr>
          <w:t>4</w:t>
        </w:r>
        <w:r w:rsidRPr="00AE0B27">
          <w:rPr>
            <w:rFonts w:ascii="Arial" w:hAnsi="Arial" w:cs="Arial"/>
            <w:noProof/>
            <w:sz w:val="24"/>
            <w:szCs w:val="24"/>
          </w:rPr>
          <w:fldChar w:fldCharType="end"/>
        </w:r>
      </w:sdtContent>
    </w:sdt>
  </w:p>
  <w:p w:rsidR="00AE0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B80" w:rsidRPr="00AE0B27" w:rsidP="00AE0B27">
    <w:pPr>
      <w:pStyle w:val="Header"/>
      <w:spacing w:line="480" w:lineRule="auto"/>
      <w:rPr>
        <w:rFonts w:ascii="Arial" w:hAnsi="Arial" w:cs="Arial"/>
        <w:sz w:val="24"/>
        <w:szCs w:val="24"/>
      </w:rPr>
    </w:pPr>
    <w:r w:rsidRPr="00AE0B27">
      <w:rPr>
        <w:rFonts w:ascii="Arial" w:hAnsi="Arial" w:cs="Arial"/>
        <w:sz w:val="24"/>
        <w:szCs w:val="24"/>
      </w:rPr>
      <w:t xml:space="preserve">Running head: </w:t>
    </w:r>
    <w:r w:rsidR="00AE0B27">
      <w:rPr>
        <w:rFonts w:ascii="Arial" w:hAnsi="Arial" w:cs="Arial"/>
        <w:sz w:val="24"/>
        <w:szCs w:val="24"/>
      </w:rPr>
      <w:t xml:space="preserve"> BUCHANAN and F</w:t>
    </w:r>
    <w:r w:rsidR="002106F1">
      <w:rPr>
        <w:rFonts w:ascii="Arial" w:hAnsi="Arial" w:cs="Arial"/>
        <w:sz w:val="24"/>
        <w:szCs w:val="24"/>
      </w:rPr>
      <w:t>ORST</w:t>
    </w:r>
    <w:r w:rsidR="00AE0B27">
      <w:rPr>
        <w:rFonts w:ascii="Arial" w:hAnsi="Arial" w:cs="Arial"/>
        <w:sz w:val="24"/>
        <w:szCs w:val="24"/>
      </w:rPr>
      <w:tab/>
    </w:r>
    <w:r w:rsidR="00AE0B27">
      <w:rPr>
        <w:rFonts w:ascii="Arial" w:hAnsi="Arial" w:cs="Arial"/>
        <w:sz w:val="24"/>
        <w:szCs w:val="24"/>
      </w:rPr>
      <w:tab/>
    </w:r>
    <w:r w:rsidR="00AE0B27">
      <w:rPr>
        <w:rFonts w:ascii="Arial" w:hAnsi="Arial" w:cs="Arial"/>
        <w:sz w:val="24"/>
        <w:szCs w:val="24"/>
      </w:rPr>
      <w:tab/>
    </w:r>
    <w:r w:rsidRPr="00AE0B27" w:rsidR="00AE0B27">
      <w:rPr>
        <w:rFonts w:ascii="Arial" w:hAnsi="Arial" w:cs="Arial"/>
        <w:sz w:val="24"/>
        <w:szCs w:val="24"/>
      </w:rPr>
      <w:t xml:space="preserve"> </w:t>
    </w:r>
    <w:sdt>
      <w:sdtPr>
        <w:rPr>
          <w:rFonts w:ascii="Arial" w:hAnsi="Arial" w:cs="Arial"/>
          <w:sz w:val="24"/>
          <w:szCs w:val="24"/>
        </w:rPr>
        <w:id w:val="176783634"/>
        <w:docPartObj>
          <w:docPartGallery w:val="Page Numbers (Top of Page)"/>
          <w:docPartUnique/>
        </w:docPartObj>
      </w:sdtPr>
      <w:sdtEndPr>
        <w:rPr>
          <w:noProof/>
        </w:rPr>
      </w:sdtEndPr>
      <w:sdtContent>
        <w:r w:rsidRPr="00AE0B27">
          <w:rPr>
            <w:rFonts w:ascii="Arial" w:hAnsi="Arial" w:cs="Arial"/>
            <w:sz w:val="24"/>
            <w:szCs w:val="24"/>
          </w:rPr>
          <w:fldChar w:fldCharType="begin"/>
        </w:r>
        <w:r w:rsidRPr="00AE0B27">
          <w:rPr>
            <w:rFonts w:ascii="Arial" w:hAnsi="Arial" w:cs="Arial"/>
            <w:sz w:val="24"/>
            <w:szCs w:val="24"/>
          </w:rPr>
          <w:instrText xml:space="preserve"> PAGE   \* MERGEFORMAT </w:instrText>
        </w:r>
        <w:r w:rsidRPr="00AE0B27">
          <w:rPr>
            <w:rFonts w:ascii="Arial" w:hAnsi="Arial" w:cs="Arial"/>
            <w:sz w:val="24"/>
            <w:szCs w:val="24"/>
          </w:rPr>
          <w:fldChar w:fldCharType="separate"/>
        </w:r>
        <w:r w:rsidR="009D0E8F">
          <w:rPr>
            <w:rFonts w:ascii="Arial" w:hAnsi="Arial" w:cs="Arial"/>
            <w:noProof/>
            <w:sz w:val="24"/>
            <w:szCs w:val="24"/>
          </w:rPr>
          <w:t>1</w:t>
        </w:r>
        <w:r w:rsidRPr="00AE0B27">
          <w:rPr>
            <w:rFonts w:ascii="Arial" w:hAnsi="Arial" w:cs="Arial"/>
            <w:noProof/>
            <w:sz w:val="24"/>
            <w:szCs w:val="24"/>
          </w:rPr>
          <w:fldChar w:fldCharType="end"/>
        </w:r>
      </w:sdtContent>
    </w:sdt>
  </w:p>
  <w:p w:rsidR="00F57B80" w:rsidRPr="00AE0B27" w:rsidP="00AE0B27">
    <w:pPr>
      <w:pStyle w:val="Header"/>
      <w:spacing w:line="480" w:lineRule="auto"/>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B80"/>
    <w:rsid w:val="000B48AC"/>
    <w:rsid w:val="00120D2B"/>
    <w:rsid w:val="0018664F"/>
    <w:rsid w:val="00187390"/>
    <w:rsid w:val="00195330"/>
    <w:rsid w:val="001D614B"/>
    <w:rsid w:val="002106F1"/>
    <w:rsid w:val="002D49D2"/>
    <w:rsid w:val="003B35B9"/>
    <w:rsid w:val="0051493E"/>
    <w:rsid w:val="005D2822"/>
    <w:rsid w:val="007339C5"/>
    <w:rsid w:val="008B3880"/>
    <w:rsid w:val="00960500"/>
    <w:rsid w:val="009D0E8F"/>
    <w:rsid w:val="00A50C28"/>
    <w:rsid w:val="00AB3CEB"/>
    <w:rsid w:val="00AD7069"/>
    <w:rsid w:val="00AE0B27"/>
    <w:rsid w:val="00C44A00"/>
    <w:rsid w:val="00C90DD8"/>
    <w:rsid w:val="00CC2D85"/>
    <w:rsid w:val="00D258C1"/>
    <w:rsid w:val="00D95265"/>
    <w:rsid w:val="00DA6EF2"/>
    <w:rsid w:val="00DC2A9E"/>
    <w:rsid w:val="00F57B80"/>
    <w:rsid w:val="00F603C8"/>
    <w:rsid w:val="00FB5E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B80"/>
  </w:style>
  <w:style w:type="paragraph" w:styleId="Footer">
    <w:name w:val="footer"/>
    <w:basedOn w:val="Normal"/>
    <w:link w:val="FooterChar"/>
    <w:uiPriority w:val="99"/>
    <w:unhideWhenUsed/>
    <w:rsid w:val="00F57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5</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2019-01-21T11:59:00Z</dcterms:created>
  <dcterms:modified xsi:type="dcterms:W3CDTF">2019-01-21T14:13:00Z</dcterms:modified>
</cp:coreProperties>
</file>